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This video describes the applications that are integrated with Ticketsolve and their uses. The video is comprised of navy and white text on a pink background, with logos and screenshots and device mockups for each of the applications. The text in the video is as follows: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276" w:lineRule="auto"/>
        <w:rPr/>
      </w:pPr>
      <w:bookmarkStart w:colFirst="0" w:colLast="0" w:name="_aylg7mxa36d4" w:id="0"/>
      <w:bookmarkEnd w:id="0"/>
      <w:r w:rsidDel="00000000" w:rsidR="00000000" w:rsidRPr="00000000">
        <w:rPr>
          <w:rtl w:val="0"/>
        </w:rPr>
        <w:t xml:space="preserve">7 Ticketsolve Integrations to help you meet your digital marketing goals and what you can use them for.</w:t>
      </w:r>
    </w:p>
    <w:p w:rsidR="00000000" w:rsidDel="00000000" w:rsidP="00000000" w:rsidRDefault="00000000" w:rsidRPr="00000000" w14:paraId="00000004">
      <w:pPr>
        <w:pStyle w:val="Heading1"/>
        <w:spacing w:line="276" w:lineRule="auto"/>
        <w:rPr/>
      </w:pPr>
      <w:bookmarkStart w:colFirst="0" w:colLast="0" w:name="_lao67hlbcyxm" w:id="1"/>
      <w:bookmarkEnd w:id="1"/>
      <w:r w:rsidDel="00000000" w:rsidR="00000000" w:rsidRPr="00000000">
        <w:rPr>
          <w:rtl w:val="0"/>
        </w:rPr>
        <w:t xml:space="preserve">Ticketsolve integrations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In brief: the software applications we’re linked to. We can share data and provide updates with them in real-time (and vice-versa)               </w:t>
      </w:r>
    </w:p>
    <w:p w:rsidR="00000000" w:rsidDel="00000000" w:rsidP="00000000" w:rsidRDefault="00000000" w:rsidRPr="00000000" w14:paraId="00000006">
      <w:pPr>
        <w:pStyle w:val="Heading1"/>
        <w:spacing w:after="240" w:before="240" w:line="276" w:lineRule="auto"/>
        <w:rPr/>
      </w:pPr>
      <w:bookmarkStart w:colFirst="0" w:colLast="0" w:name="_h0ykqrtohfoe" w:id="2"/>
      <w:bookmarkEnd w:id="2"/>
      <w:r w:rsidDel="00000000" w:rsidR="00000000" w:rsidRPr="00000000">
        <w:rPr>
          <w:rtl w:val="0"/>
        </w:rPr>
        <w:t xml:space="preserve">Mailchimp: Email Marketing Tool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Automate marketing on multiple channels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Segment and target your audience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Track &amp; analyse your campaigns</w:t>
      </w:r>
    </w:p>
    <w:p w:rsidR="00000000" w:rsidDel="00000000" w:rsidP="00000000" w:rsidRDefault="00000000" w:rsidRPr="00000000" w14:paraId="0000000A">
      <w:pPr>
        <w:pStyle w:val="Heading1"/>
        <w:spacing w:after="240" w:before="240" w:line="276" w:lineRule="auto"/>
        <w:rPr/>
      </w:pPr>
      <w:bookmarkStart w:colFirst="0" w:colLast="0" w:name="_dzked5bsvaea" w:id="3"/>
      <w:bookmarkEnd w:id="3"/>
      <w:r w:rsidDel="00000000" w:rsidR="00000000" w:rsidRPr="00000000">
        <w:rPr>
          <w:rtl w:val="0"/>
        </w:rPr>
        <w:t xml:space="preserve">Google Analytics: website and traffic reporting tool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Journey &amp; interaction tracking and analysis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Predictive Metrics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Custom reporting on your activity</w:t>
      </w:r>
    </w:p>
    <w:p w:rsidR="00000000" w:rsidDel="00000000" w:rsidP="00000000" w:rsidRDefault="00000000" w:rsidRPr="00000000" w14:paraId="0000000E">
      <w:pPr>
        <w:pStyle w:val="Heading1"/>
        <w:spacing w:after="240" w:before="240" w:line="276" w:lineRule="auto"/>
        <w:rPr/>
      </w:pPr>
      <w:bookmarkStart w:colFirst="0" w:colLast="0" w:name="_411e9kranlab" w:id="4"/>
      <w:bookmarkEnd w:id="4"/>
      <w:r w:rsidDel="00000000" w:rsidR="00000000" w:rsidRPr="00000000">
        <w:rPr>
          <w:rtl w:val="0"/>
        </w:rPr>
        <w:t xml:space="preserve">Google Tag Manager: Tag Management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Track and measure engagement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Understand and track conversions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Test and try strategies and campaigns</w:t>
      </w:r>
    </w:p>
    <w:p w:rsidR="00000000" w:rsidDel="00000000" w:rsidP="00000000" w:rsidRDefault="00000000" w:rsidRPr="00000000" w14:paraId="00000012">
      <w:pPr>
        <w:pStyle w:val="Heading1"/>
        <w:spacing w:after="240" w:before="240" w:line="276" w:lineRule="auto"/>
        <w:rPr/>
      </w:pPr>
      <w:bookmarkStart w:colFirst="0" w:colLast="0" w:name="_28wxwdty0f8m" w:id="5"/>
      <w:bookmarkEnd w:id="5"/>
      <w:r w:rsidDel="00000000" w:rsidR="00000000" w:rsidRPr="00000000">
        <w:rPr>
          <w:rtl w:val="0"/>
        </w:rPr>
        <w:t xml:space="preserve">Meta Pixel data collection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Build audiences for campaign targeting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Remarket to engaged users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Calculate return on investment</w:t>
      </w:r>
    </w:p>
    <w:p w:rsidR="00000000" w:rsidDel="00000000" w:rsidP="00000000" w:rsidRDefault="00000000" w:rsidRPr="00000000" w14:paraId="00000016">
      <w:pPr>
        <w:pStyle w:val="Heading1"/>
        <w:spacing w:after="240" w:before="240" w:line="276" w:lineRule="auto"/>
        <w:rPr/>
      </w:pPr>
      <w:bookmarkStart w:colFirst="0" w:colLast="0" w:name="_s71y8jpwrkvi" w:id="6"/>
      <w:bookmarkEnd w:id="6"/>
      <w:r w:rsidDel="00000000" w:rsidR="00000000" w:rsidRPr="00000000">
        <w:rPr>
          <w:rtl w:val="0"/>
        </w:rPr>
        <w:t xml:space="preserve">Arts Council England Illuminate: Audience Data Platform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Analyse audience data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Conduct audience surveys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Understand your engagement</w:t>
      </w:r>
    </w:p>
    <w:p w:rsidR="00000000" w:rsidDel="00000000" w:rsidP="00000000" w:rsidRDefault="00000000" w:rsidRPr="00000000" w14:paraId="0000001A">
      <w:pPr>
        <w:pStyle w:val="Heading1"/>
        <w:spacing w:after="240" w:before="240" w:line="276" w:lineRule="auto"/>
        <w:rPr/>
      </w:pPr>
      <w:bookmarkStart w:colFirst="0" w:colLast="0" w:name="_a27v7cgyqd2" w:id="7"/>
      <w:bookmarkEnd w:id="7"/>
      <w:r w:rsidDel="00000000" w:rsidR="00000000" w:rsidRPr="00000000">
        <w:rPr>
          <w:rtl w:val="0"/>
        </w:rPr>
        <w:t xml:space="preserve">Audience Answers by the Audience Agency Data and development </w:t>
      </w:r>
      <w:r w:rsidDel="00000000" w:rsidR="00000000" w:rsidRPr="00000000">
        <w:rPr>
          <w:rtl w:val="0"/>
        </w:rPr>
        <w:t xml:space="preserve">Tool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Innovative segmentation of your audience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Increase understanding with audience surveys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Detailed insights into your data</w:t>
      </w:r>
    </w:p>
    <w:p w:rsidR="00000000" w:rsidDel="00000000" w:rsidP="00000000" w:rsidRDefault="00000000" w:rsidRPr="00000000" w14:paraId="0000001E">
      <w:pPr>
        <w:pStyle w:val="Heading1"/>
        <w:spacing w:after="240" w:before="240" w:line="276" w:lineRule="auto"/>
        <w:rPr/>
      </w:pPr>
      <w:bookmarkStart w:colFirst="0" w:colLast="0" w:name="_6fadpr1x282" w:id="8"/>
      <w:bookmarkEnd w:id="8"/>
      <w:r w:rsidDel="00000000" w:rsidR="00000000" w:rsidRPr="00000000">
        <w:rPr>
          <w:rtl w:val="0"/>
        </w:rPr>
        <w:t xml:space="preserve">TRG Arts and Purple Seven Benchmark: Data Comparison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Increased understanding of your data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Learning &amp; Understanding on national and international levels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Clear insights into your data &amp; progress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900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998.1818181818181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1096.3636363636365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1096.3636363636365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1178.181818181818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949.090909090909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949.090909090909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949.090909090909" w:lineRule="auto"/>
        <w:rPr>
          <w:color w:val="032c6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color w:val="032c6c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